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16B" w:rsidRDefault="00DF7FC3" w:rsidP="00DF7FC3">
      <w:pPr>
        <w:pStyle w:val="berschrift1"/>
      </w:pPr>
      <w:r>
        <w:t>Wärmekraftwerk</w:t>
      </w:r>
    </w:p>
    <w:p w:rsidR="00DF7FC3" w:rsidRDefault="00DF7FC3" w:rsidP="00DF7FC3">
      <w:r>
        <w:t>Bereits im Jahr 1960 w</w:t>
      </w:r>
      <w:r w:rsidR="009D19FF">
        <w:t>ar</w:t>
      </w:r>
      <w:r>
        <w:t xml:space="preserve"> in den USA ein Steinkohlekraftwerk mit einem Wirkungsgrad über 40% in Betrieb. Im Diagramm ist der Wasserdampfkreislauf mit Werten der markanten Zustände skizziert. </w:t>
      </w:r>
    </w:p>
    <w:p w:rsidR="009D19FF" w:rsidRDefault="009D19FF" w:rsidP="00DF7FC3">
      <w:r>
        <w:t>Aufgrund von Materialproblemen wurden Frischdampfdruck und –Temperatur später etwas abgesenkt.</w:t>
      </w:r>
    </w:p>
    <w:p w:rsidR="009D19FF" w:rsidRDefault="009D19FF" w:rsidP="009D19FF">
      <w:pPr>
        <w:pStyle w:val="Listenabsatz"/>
        <w:numPr>
          <w:ilvl w:val="0"/>
          <w:numId w:val="1"/>
        </w:numPr>
      </w:pPr>
      <w:r>
        <w:t>Zeichne</w:t>
      </w:r>
      <w:r w:rsidR="00591965">
        <w:t>n Sie</w:t>
      </w:r>
      <w:r>
        <w:t xml:space="preserve"> das Blockbild eines einfachen Kohlekraftwerks ohne Zwischenüberhitzung.</w:t>
      </w:r>
    </w:p>
    <w:p w:rsidR="009D19FF" w:rsidRDefault="009D19FF" w:rsidP="009D19FF">
      <w:pPr>
        <w:pStyle w:val="Listenabsatz"/>
        <w:numPr>
          <w:ilvl w:val="0"/>
          <w:numId w:val="1"/>
        </w:numPr>
      </w:pPr>
      <w:r>
        <w:t>Erkläre</w:t>
      </w:r>
      <w:r w:rsidR="00591965">
        <w:t>n Sie</w:t>
      </w:r>
      <w:r>
        <w:t xml:space="preserve"> wie man aus dem T-s-Diagramm den Thermischen Wirkungsgrad des Kraftwerks bestimmen kann.</w:t>
      </w:r>
    </w:p>
    <w:p w:rsidR="00591965" w:rsidRDefault="00591965" w:rsidP="009D19FF">
      <w:pPr>
        <w:pStyle w:val="Listenabsatz"/>
        <w:numPr>
          <w:ilvl w:val="0"/>
          <w:numId w:val="1"/>
        </w:numPr>
      </w:pPr>
      <w:r>
        <w:t>Erklären Sie warum zwei Wirkungsgrade angegeben werden und warum sich d</w:t>
      </w:r>
      <w:r w:rsidR="0019661F">
        <w:t>eren</w:t>
      </w:r>
      <w:r>
        <w:t xml:space="preserve"> Werte unterscheiden.</w:t>
      </w:r>
    </w:p>
    <w:p w:rsidR="00591965" w:rsidRDefault="00591965" w:rsidP="009D19FF">
      <w:pPr>
        <w:pStyle w:val="Listenabsatz"/>
        <w:numPr>
          <w:ilvl w:val="0"/>
          <w:numId w:val="1"/>
        </w:numPr>
      </w:pPr>
      <w:r>
        <w:t>Zeichnen Sie den Kraftwerksprozess in das h-s-Diagramm ein.</w:t>
      </w:r>
    </w:p>
    <w:p w:rsidR="00591965" w:rsidRDefault="00591965" w:rsidP="009D19FF">
      <w:pPr>
        <w:pStyle w:val="Listenabsatz"/>
        <w:numPr>
          <w:ilvl w:val="0"/>
          <w:numId w:val="1"/>
        </w:numPr>
      </w:pPr>
      <w:r>
        <w:t>Bestimmen Sie den thermischen Wirkungsgrad aus dem h-s-Diagramm.</w:t>
      </w:r>
    </w:p>
    <w:p w:rsidR="00DF7FC3" w:rsidRDefault="009D19FF" w:rsidP="00DF7FC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760720" cy="2366196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FF" w:rsidRDefault="009D19FF" w:rsidP="00DF7FC3">
      <w:pPr>
        <w:rPr>
          <w:noProof/>
          <w:sz w:val="12"/>
          <w:lang w:eastAsia="de-DE"/>
        </w:rPr>
      </w:pPr>
      <w:r w:rsidRPr="00591965">
        <w:rPr>
          <w:noProof/>
          <w:sz w:val="12"/>
          <w:lang w:eastAsia="de-DE"/>
        </w:rPr>
        <w:t>Quelle</w:t>
      </w:r>
      <w:r w:rsidR="00591965" w:rsidRPr="00591965">
        <w:rPr>
          <w:noProof/>
          <w:sz w:val="12"/>
          <w:lang w:eastAsia="de-DE"/>
        </w:rPr>
        <w:t xml:space="preserve">: </w:t>
      </w:r>
      <w:hyperlink r:id="rId6" w:history="1">
        <w:r w:rsidR="00591965" w:rsidRPr="00591965">
          <w:rPr>
            <w:rStyle w:val="Hyperlink"/>
            <w:noProof/>
            <w:sz w:val="12"/>
            <w:lang w:eastAsia="de-DE"/>
          </w:rPr>
          <w:t>http://www.ecoenergy.de/go_public/freigegeben/Mehrstufige%20Dampfueberhitzung_R.%20Schu_Sep.%202008.pdf</w:t>
        </w:r>
      </w:hyperlink>
      <w:r w:rsidR="00591965" w:rsidRPr="00591965">
        <w:rPr>
          <w:noProof/>
          <w:sz w:val="12"/>
          <w:lang w:eastAsia="de-DE"/>
        </w:rPr>
        <w:t>; S. 23; geändert; Stand: 17.06.2013</w:t>
      </w:r>
    </w:p>
    <w:tbl>
      <w:tblPr>
        <w:tblStyle w:val="Tabellengitternetz"/>
        <w:tblW w:w="0" w:type="auto"/>
        <w:tblLook w:val="04A0"/>
      </w:tblPr>
      <w:tblGrid>
        <w:gridCol w:w="384"/>
        <w:gridCol w:w="8541"/>
        <w:gridCol w:w="363"/>
      </w:tblGrid>
      <w:tr w:rsidR="00177FC2" w:rsidTr="00177FC2">
        <w:tc>
          <w:tcPr>
            <w:tcW w:w="0" w:type="auto"/>
          </w:tcPr>
          <w:p w:rsidR="00177FC2" w:rsidRDefault="00177FC2" w:rsidP="00177FC2">
            <w:r>
              <w:t>1.</w:t>
            </w:r>
          </w:p>
        </w:tc>
        <w:tc>
          <w:tcPr>
            <w:tcW w:w="0" w:type="auto"/>
          </w:tcPr>
          <w:p w:rsidR="00177FC2" w:rsidRDefault="00177FC2" w:rsidP="00177FC2">
            <w:r>
              <w:rPr>
                <w:noProof/>
                <w:lang w:eastAsia="de-DE"/>
              </w:rPr>
              <w:drawing>
                <wp:inline distT="0" distB="0" distL="0" distR="0">
                  <wp:extent cx="3371131" cy="2124422"/>
                  <wp:effectExtent l="19050" t="0" r="719" b="0"/>
                  <wp:docPr id="4" name="Grafik 3" descr="Klausur_Auf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ausur_Auf1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173" cy="2124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77FC2" w:rsidRPr="00177FC2" w:rsidRDefault="00177FC2" w:rsidP="00177FC2">
            <w:pPr>
              <w:rPr>
                <w:rFonts w:ascii="Times New Roman" w:hAnsi="Times New Roman" w:cs="Times New Roman"/>
              </w:rPr>
            </w:pPr>
            <w:r w:rsidRPr="00177FC2">
              <w:rPr>
                <w:rFonts w:ascii="Times New Roman" w:hAnsi="Times New Roman" w:cs="Times New Roman"/>
              </w:rPr>
              <w:t>I</w:t>
            </w:r>
          </w:p>
        </w:tc>
      </w:tr>
      <w:tr w:rsidR="00177FC2" w:rsidTr="00177FC2">
        <w:tc>
          <w:tcPr>
            <w:tcW w:w="0" w:type="auto"/>
          </w:tcPr>
          <w:p w:rsidR="00177FC2" w:rsidRDefault="00177FC2" w:rsidP="00177FC2">
            <w:r>
              <w:t>2.</w:t>
            </w:r>
          </w:p>
        </w:tc>
        <w:tc>
          <w:tcPr>
            <w:tcW w:w="0" w:type="auto"/>
          </w:tcPr>
          <w:p w:rsidR="00177FC2" w:rsidRDefault="00177FC2" w:rsidP="00177FC2">
            <w:r>
              <w:t>Der thermische Wirkungsgrad ergibt sich im T-s-Diagramm als Verhältnis von eingeschlossener Fläche zur Gesamtfläche. Da die Funktion(en) nicht bekannt sind, muss die Fläche geeignet in Drei- und Vierecke zerlegt werden.</w:t>
            </w:r>
            <w:r>
              <w:br/>
              <w:t>Es ist zu berücksichtigen, dass manche Diagramme bei 0°C beginnen. Die (gedachte) Fläche muss bis 0 K oder -273°C gehen.</w:t>
            </w:r>
          </w:p>
        </w:tc>
        <w:tc>
          <w:tcPr>
            <w:tcW w:w="0" w:type="auto"/>
          </w:tcPr>
          <w:p w:rsidR="00177FC2" w:rsidRPr="00177FC2" w:rsidRDefault="00156D80" w:rsidP="00177F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</w:t>
            </w:r>
          </w:p>
        </w:tc>
      </w:tr>
    </w:tbl>
    <w:p w:rsidR="006D2E69" w:rsidRDefault="006D2E69">
      <w:r>
        <w:br w:type="page"/>
      </w:r>
    </w:p>
    <w:tbl>
      <w:tblPr>
        <w:tblStyle w:val="Tabellengitternetz"/>
        <w:tblW w:w="0" w:type="auto"/>
        <w:tblLook w:val="04A0"/>
      </w:tblPr>
      <w:tblGrid>
        <w:gridCol w:w="384"/>
        <w:gridCol w:w="8468"/>
        <w:gridCol w:w="436"/>
      </w:tblGrid>
      <w:tr w:rsidR="00177FC2" w:rsidTr="00177FC2">
        <w:tc>
          <w:tcPr>
            <w:tcW w:w="0" w:type="auto"/>
          </w:tcPr>
          <w:p w:rsidR="00177FC2" w:rsidRDefault="00177FC2" w:rsidP="00177FC2">
            <w:r>
              <w:lastRenderedPageBreak/>
              <w:t>3.</w:t>
            </w:r>
          </w:p>
        </w:tc>
        <w:tc>
          <w:tcPr>
            <w:tcW w:w="0" w:type="auto"/>
          </w:tcPr>
          <w:p w:rsidR="00177FC2" w:rsidRDefault="00156D80" w:rsidP="00177FC2">
            <w:r>
              <w:t>Der Thermische Wirkungsgrad ist nur der Wirkungsgrad eines Teilsystems. Andere Teilsysteme wie Kessel, Generator, Transformator haben auch Wirkungsgrad von (wenn auch knapp) unter 100%. Daher ist der Gesamtwirkungsgrad kleiner. Außerdem muss ein Teil der gewonnenen Energie auch für den Betrieb der Speisewasserpumpe verwendet werden.</w:t>
            </w:r>
          </w:p>
        </w:tc>
        <w:tc>
          <w:tcPr>
            <w:tcW w:w="0" w:type="auto"/>
          </w:tcPr>
          <w:p w:rsidR="00177FC2" w:rsidRPr="00177FC2" w:rsidRDefault="00156D80" w:rsidP="00177F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</w:tr>
      <w:tr w:rsidR="00177FC2" w:rsidTr="00177FC2">
        <w:tc>
          <w:tcPr>
            <w:tcW w:w="0" w:type="auto"/>
          </w:tcPr>
          <w:p w:rsidR="00177FC2" w:rsidRDefault="00177FC2" w:rsidP="00177FC2">
            <w:r>
              <w:t>4.</w:t>
            </w:r>
          </w:p>
        </w:tc>
        <w:tc>
          <w:tcPr>
            <w:tcW w:w="0" w:type="auto"/>
          </w:tcPr>
          <w:p w:rsidR="00177FC2" w:rsidRDefault="00156D80" w:rsidP="00177FC2">
            <w:r>
              <w:rPr>
                <w:noProof/>
                <w:lang w:eastAsia="de-DE"/>
              </w:rPr>
              <w:drawing>
                <wp:inline distT="0" distB="0" distL="0" distR="0">
                  <wp:extent cx="5103412" cy="6754483"/>
                  <wp:effectExtent l="19050" t="0" r="1988" b="0"/>
                  <wp:docPr id="5" name="Grafik 4" descr="Scann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nen0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76" cy="675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E69" w:rsidRPr="006D2E69" w:rsidRDefault="006D2E69" w:rsidP="00177FC2">
            <w:pPr>
              <w:rPr>
                <w:i/>
              </w:rPr>
            </w:pPr>
            <w:r w:rsidRPr="006D2E69">
              <w:rPr>
                <w:i/>
              </w:rPr>
              <w:t>Kleinere Zeichenungenauigkeiten sind zu tolerieren.</w:t>
            </w:r>
          </w:p>
        </w:tc>
        <w:tc>
          <w:tcPr>
            <w:tcW w:w="0" w:type="auto"/>
          </w:tcPr>
          <w:p w:rsidR="00177FC2" w:rsidRPr="00177FC2" w:rsidRDefault="006D2E69" w:rsidP="00177F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</w:t>
            </w:r>
          </w:p>
        </w:tc>
      </w:tr>
      <w:tr w:rsidR="00177FC2" w:rsidTr="00177FC2">
        <w:tc>
          <w:tcPr>
            <w:tcW w:w="0" w:type="auto"/>
          </w:tcPr>
          <w:p w:rsidR="00177FC2" w:rsidRDefault="00177FC2" w:rsidP="00177FC2">
            <w:r>
              <w:t>5.</w:t>
            </w:r>
          </w:p>
        </w:tc>
        <w:tc>
          <w:tcPr>
            <w:tcW w:w="0" w:type="auto"/>
          </w:tcPr>
          <w:p w:rsidR="006D2E69" w:rsidRDefault="006D2E69" w:rsidP="006D2E69">
            <w:r>
              <w:rPr>
                <w:rFonts w:ascii="Symbol" w:hAnsi="Symbol"/>
              </w:rPr>
              <w:t></w:t>
            </w:r>
            <w:r>
              <w:t xml:space="preserve"> = (h</w:t>
            </w:r>
            <w:r>
              <w:rPr>
                <w:vertAlign w:val="subscript"/>
              </w:rPr>
              <w:t>1</w:t>
            </w:r>
            <w:r>
              <w:t xml:space="preserve"> – h</w:t>
            </w:r>
            <w:r>
              <w:rPr>
                <w:vertAlign w:val="subscript"/>
              </w:rPr>
              <w:t>2</w:t>
            </w:r>
            <w:r>
              <w:t>)+(h</w:t>
            </w:r>
            <w:r>
              <w:rPr>
                <w:vertAlign w:val="subscript"/>
              </w:rPr>
              <w:t>3</w:t>
            </w:r>
            <w:r>
              <w:t xml:space="preserve"> – h</w:t>
            </w:r>
            <w:r>
              <w:rPr>
                <w:vertAlign w:val="subscript"/>
              </w:rPr>
              <w:t>4</w:t>
            </w:r>
            <w:r>
              <w:t>)+(h</w:t>
            </w:r>
            <w:r>
              <w:rPr>
                <w:vertAlign w:val="subscript"/>
              </w:rPr>
              <w:t>5</w:t>
            </w:r>
            <w:r>
              <w:t xml:space="preserve"> – h</w:t>
            </w:r>
            <w:r>
              <w:rPr>
                <w:vertAlign w:val="subscript"/>
              </w:rPr>
              <w:t>6</w:t>
            </w:r>
            <w:r>
              <w:t>)  / h</w:t>
            </w:r>
            <w:r>
              <w:rPr>
                <w:vertAlign w:val="subscript"/>
              </w:rPr>
              <w:t>1</w:t>
            </w:r>
            <w:r>
              <w:t xml:space="preserve"> +(h</w:t>
            </w:r>
            <w:r>
              <w:rPr>
                <w:vertAlign w:val="subscript"/>
              </w:rPr>
              <w:t>3</w:t>
            </w:r>
            <w:r>
              <w:t xml:space="preserve"> – h</w:t>
            </w:r>
            <w:r>
              <w:rPr>
                <w:vertAlign w:val="subscript"/>
              </w:rPr>
              <w:t>2</w:t>
            </w:r>
            <w:r>
              <w:t>) +(h</w:t>
            </w:r>
            <w:r>
              <w:rPr>
                <w:vertAlign w:val="subscript"/>
              </w:rPr>
              <w:t>5</w:t>
            </w:r>
            <w:r>
              <w:t xml:space="preserve"> – h</w:t>
            </w:r>
            <w:r>
              <w:rPr>
                <w:vertAlign w:val="subscript"/>
              </w:rPr>
              <w:t>4</w:t>
            </w:r>
            <w:r>
              <w:t>) = 0,48</w:t>
            </w:r>
          </w:p>
          <w:p w:rsidR="00177FC2" w:rsidRPr="006D2E69" w:rsidRDefault="006D2E69" w:rsidP="00177FC2">
            <w:pPr>
              <w:rPr>
                <w:i/>
              </w:rPr>
            </w:pPr>
            <w:r w:rsidRPr="006D2E69">
              <w:rPr>
                <w:i/>
              </w:rPr>
              <w:t xml:space="preserve">Auch hier sind bei den </w:t>
            </w:r>
            <w:proofErr w:type="spellStart"/>
            <w:r w:rsidRPr="006D2E69">
              <w:rPr>
                <w:i/>
              </w:rPr>
              <w:t>Enhalpien</w:t>
            </w:r>
            <w:proofErr w:type="spellEnd"/>
            <w:r w:rsidRPr="006D2E69">
              <w:rPr>
                <w:i/>
              </w:rPr>
              <w:t xml:space="preserve"> kleinere </w:t>
            </w:r>
            <w:proofErr w:type="spellStart"/>
            <w:r w:rsidRPr="006D2E69">
              <w:rPr>
                <w:i/>
              </w:rPr>
              <w:t>Ableseungenauigkeiten</w:t>
            </w:r>
            <w:proofErr w:type="spellEnd"/>
            <w:r w:rsidRPr="006D2E69">
              <w:rPr>
                <w:i/>
              </w:rPr>
              <w:t xml:space="preserve"> ca. 1% zu tolerieren.</w:t>
            </w:r>
          </w:p>
        </w:tc>
        <w:tc>
          <w:tcPr>
            <w:tcW w:w="0" w:type="auto"/>
          </w:tcPr>
          <w:p w:rsidR="00177FC2" w:rsidRPr="00177FC2" w:rsidRDefault="006D2E69" w:rsidP="00177F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</w:t>
            </w:r>
          </w:p>
        </w:tc>
      </w:tr>
    </w:tbl>
    <w:p w:rsidR="00177FC2" w:rsidRPr="00591965" w:rsidRDefault="00177FC2" w:rsidP="00177FC2"/>
    <w:sectPr w:rsidR="00177FC2" w:rsidRPr="00591965" w:rsidSect="004901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BA1"/>
    <w:multiLevelType w:val="hybridMultilevel"/>
    <w:tmpl w:val="D8665E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hyphenationZone w:val="425"/>
  <w:characterSpacingControl w:val="doNotCompress"/>
  <w:savePreviewPicture/>
  <w:compat/>
  <w:rsids>
    <w:rsidRoot w:val="00DF7FC3"/>
    <w:rsid w:val="001262D5"/>
    <w:rsid w:val="00156D80"/>
    <w:rsid w:val="00177FC2"/>
    <w:rsid w:val="001807BA"/>
    <w:rsid w:val="0018555C"/>
    <w:rsid w:val="0019661F"/>
    <w:rsid w:val="001D3241"/>
    <w:rsid w:val="00266482"/>
    <w:rsid w:val="00446AEB"/>
    <w:rsid w:val="0049016B"/>
    <w:rsid w:val="00591965"/>
    <w:rsid w:val="006D2E69"/>
    <w:rsid w:val="009D19FF"/>
    <w:rsid w:val="00B81FFC"/>
    <w:rsid w:val="00DF7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9016B"/>
  </w:style>
  <w:style w:type="paragraph" w:styleId="berschrift1">
    <w:name w:val="heading 1"/>
    <w:basedOn w:val="Standard"/>
    <w:next w:val="Standard"/>
    <w:link w:val="berschrift1Zchn"/>
    <w:uiPriority w:val="9"/>
    <w:qFormat/>
    <w:rsid w:val="00DF7F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F7F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7FC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D19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91965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59"/>
    <w:rsid w:val="00177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6D2E6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coenergy.de/go_public/freigegeben/Mehrstufige%20Dampfueberhitzung_R.%20Schu_Sep.%202008.pdf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1644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Wärmekraftwerk</vt:lpstr>
    </vt:vector>
  </TitlesOfParts>
  <Company>TOSHIBA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Oliver</cp:lastModifiedBy>
  <cp:revision>3</cp:revision>
  <dcterms:created xsi:type="dcterms:W3CDTF">2013-06-17T14:47:00Z</dcterms:created>
  <dcterms:modified xsi:type="dcterms:W3CDTF">2013-06-17T15:12:00Z</dcterms:modified>
</cp:coreProperties>
</file>